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67" w:rsidRDefault="00725967" w:rsidP="00725967">
      <w:pPr>
        <w:jc w:val="both"/>
        <w:rPr>
          <w:rFonts w:ascii="Times New Roman" w:hAnsi="Times New Roman"/>
          <w:b/>
          <w:caps/>
          <w:color w:val="9F4A9B"/>
          <w:sz w:val="20"/>
          <w:szCs w:val="20"/>
        </w:rPr>
      </w:pPr>
      <w:r>
        <w:rPr>
          <w:rFonts w:ascii="Times New Roman" w:hAnsi="Times New Roman"/>
          <w:b/>
          <w:caps/>
          <w:color w:val="9F4A9B"/>
          <w:sz w:val="20"/>
          <w:szCs w:val="20"/>
        </w:rPr>
        <w:t>PREMIO ENDOCRINOLOGIA</w:t>
      </w:r>
    </w:p>
    <w:p w:rsidR="00725967" w:rsidRPr="00E71347" w:rsidRDefault="00725967" w:rsidP="00725967">
      <w:pPr>
        <w:jc w:val="both"/>
        <w:rPr>
          <w:rFonts w:ascii="Times New Roman" w:hAnsi="Times New Roman"/>
          <w:b/>
          <w:caps/>
          <w:color w:val="9F4A9B"/>
          <w:sz w:val="20"/>
          <w:szCs w:val="20"/>
        </w:rPr>
      </w:pPr>
      <w:r w:rsidRPr="00E71347">
        <w:rPr>
          <w:rFonts w:ascii="Times New Roman" w:hAnsi="Times New Roman"/>
          <w:b/>
          <w:caps/>
          <w:color w:val="9F4A9B"/>
          <w:sz w:val="20"/>
          <w:szCs w:val="20"/>
        </w:rPr>
        <w:t>Determinación de Tiroglobulina y Ac antitiroglobulina en el lavado de la aguja, en adenopatías cervicales de pacientes con CDT</w:t>
      </w:r>
    </w:p>
    <w:p w:rsidR="00725967" w:rsidRPr="00DA69DE" w:rsidRDefault="00725967" w:rsidP="00725967">
      <w:pPr>
        <w:numPr>
          <w:ilvl w:val="0"/>
          <w:numId w:val="1"/>
        </w:numPr>
        <w:pBdr>
          <w:top w:val="dotted" w:sz="6" w:space="15" w:color="9F4A9B"/>
        </w:pBdr>
        <w:shd w:val="clear" w:color="auto" w:fill="FFFFFF"/>
        <w:spacing w:after="0" w:line="281" w:lineRule="atLeast"/>
        <w:ind w:left="300" w:right="300"/>
        <w:jc w:val="both"/>
        <w:textAlignment w:val="baseline"/>
        <w:rPr>
          <w:rFonts w:ascii="Times New Roman" w:eastAsia="Times New Roman" w:hAnsi="Times New Roman"/>
          <w:color w:val="363636"/>
          <w:sz w:val="20"/>
          <w:szCs w:val="20"/>
          <w:lang w:eastAsia="es-ES"/>
        </w:rPr>
      </w:pPr>
      <w:r w:rsidRPr="00DA69DE">
        <w:rPr>
          <w:rFonts w:ascii="Times New Roman" w:eastAsia="Times New Roman" w:hAnsi="Times New Roman"/>
          <w:b/>
          <w:bCs/>
          <w:color w:val="363636"/>
          <w:sz w:val="20"/>
          <w:szCs w:val="20"/>
          <w:bdr w:val="none" w:sz="0" w:space="0" w:color="auto" w:frame="1"/>
          <w:lang w:eastAsia="es-ES"/>
        </w:rPr>
        <w:t>Autor: </w:t>
      </w:r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Torres </w:t>
      </w:r>
      <w:proofErr w:type="spellStart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Torres</w:t>
      </w:r>
      <w:proofErr w:type="spellEnd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, Beatriz. </w:t>
      </w:r>
      <w:proofErr w:type="spellStart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Hodpital</w:t>
      </w:r>
      <w:proofErr w:type="spellEnd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 Clínico Universitario de Valladolid.</w:t>
      </w:r>
    </w:p>
    <w:p w:rsidR="00725967" w:rsidRPr="00DA69DE" w:rsidRDefault="00725967" w:rsidP="00725967">
      <w:pPr>
        <w:numPr>
          <w:ilvl w:val="0"/>
          <w:numId w:val="1"/>
        </w:numPr>
        <w:pBdr>
          <w:top w:val="dotted" w:sz="6" w:space="15" w:color="9F4A9B"/>
        </w:pBdr>
        <w:shd w:val="clear" w:color="auto" w:fill="FFFFFF"/>
        <w:spacing w:after="0" w:line="281" w:lineRule="atLeast"/>
        <w:ind w:left="300" w:right="300"/>
        <w:jc w:val="both"/>
        <w:textAlignment w:val="baseline"/>
        <w:rPr>
          <w:rFonts w:ascii="Times New Roman" w:eastAsia="Times New Roman" w:hAnsi="Times New Roman"/>
          <w:color w:val="363636"/>
          <w:sz w:val="20"/>
          <w:szCs w:val="20"/>
          <w:lang w:eastAsia="es-ES"/>
        </w:rPr>
      </w:pPr>
      <w:r w:rsidRPr="00DA69DE">
        <w:rPr>
          <w:rFonts w:ascii="Times New Roman" w:eastAsia="Times New Roman" w:hAnsi="Times New Roman"/>
          <w:b/>
          <w:bCs/>
          <w:color w:val="363636"/>
          <w:sz w:val="20"/>
          <w:szCs w:val="20"/>
          <w:bdr w:val="none" w:sz="0" w:space="0" w:color="auto" w:frame="1"/>
          <w:lang w:eastAsia="es-ES"/>
        </w:rPr>
        <w:t>Coautores: </w:t>
      </w:r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G. Díaz Soto, JJ. López Gómez, E. Gómez Hoyos, S. Rodríguez Calvo, M. Vicente Santos, A. Villar Bonet, E. Romero Bobillo, D. de luis Román</w:t>
      </w:r>
    </w:p>
    <w:p w:rsidR="00725967" w:rsidRPr="00DA69DE" w:rsidRDefault="00725967" w:rsidP="00725967">
      <w:pPr>
        <w:jc w:val="both"/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</w:pP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  <w:t>Introducción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: La determinación de niveles de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 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tiroglobulina</w:t>
      </w:r>
      <w:proofErr w:type="spellEnd"/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(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) del lavado de aguja (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noBreakHyphen/>
        <w:t xml:space="preserve">PAAF) , obtenida mediante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EcoPAAF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ha demostrado ser una herramienta fundamental para la detección precoz de metástasis ganglionares en pacientes con cáncer diferenciado de tiroides(CDT)</w:t>
      </w:r>
      <w:r w:rsidRPr="00DA69DE">
        <w:rPr>
          <w:rFonts w:ascii="Times New Roman" w:hAnsi="Times New Roman"/>
          <w:color w:val="363636"/>
          <w:sz w:val="20"/>
          <w:szCs w:val="20"/>
        </w:rPr>
        <w:br/>
      </w:r>
      <w:r w:rsidRPr="00DA69DE"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  <w:t>Objetivos: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Establecer la relación de los niveles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-PAAF, características ecográficas y niveles de Anticuerpos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antitiroglobulina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del líquido de la PAAF (AAT-PAAF), en pacientes con CDT y adenopatías a estudio.</w:t>
      </w: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  <w:t>Métodos: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Realización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EcoPAAF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en adenopatías ecográficamente patológicas, obteniéndose material para extensión citológica y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-PAAF, analizándose características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ecográficas ,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y su relación con niveles de TG-PAAF y AAT-PAAF</w:t>
      </w: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  <w:t>Resultados: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Se analizaron adenopatías de 26 pacientes con diagnóstico de CPT e imagen ecográfica patológica: de los que el 38%(10) fueron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hombres ,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la edad media al diagnóstico fue de 53,4 años(14.8)con un tiempo de evolución de 4,6 años(4.8).En14 pacientes la TG-PAAF era mayor de 10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ng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/dl(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TgPAAF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&gt;10), y tenían un diagnóstico citológico compatible con metástasis ganglionares de CDT y una 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-PAAF: 3373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ng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/ml(78-85500). Los otros 12, tenían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  niveles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-PAAF de  0.04ng/ml(0.0-7.8) y presentaron una citología: 11 compatible con hiperplasia linfoide y 1 compatible con metástasis ganglionar de carcinoma indiferenciado de tiroides</w:t>
      </w:r>
    </w:p>
    <w:p w:rsidR="00725967" w:rsidRPr="00DA69DE" w:rsidRDefault="00725967" w:rsidP="00725967">
      <w:pPr>
        <w:jc w:val="both"/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En el grupo con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 &gt;10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ng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/ml el eje corto de la adenopatía fue mayor ( 0.83 cm vs 0.44cm, p&lt;0.05 ) y tuvieron una mayor frecuencia de: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microcalcificaciones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(64%vs10%, p&lt;0.05), cambios quísticos (71%vs 0%, p&lt;0.005) y presencia de más de una característica ecográfica sospechosa (100% vs 10%,p&lt;0.05)</w:t>
      </w:r>
      <w:r w:rsidRPr="00DA69DE">
        <w:rPr>
          <w:rFonts w:ascii="Times New Roman" w:hAnsi="Times New Roman"/>
          <w:color w:val="363636"/>
          <w:sz w:val="20"/>
          <w:szCs w:val="20"/>
        </w:rPr>
        <w:br/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En el grupo con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-PAAF&gt;10 se observaron AAT-FNA  elevados en 6 pacientes, que presentaban niveles más elevados de 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-PAAF(24.50ng/dl (19500-85000) vs 994ng/dl (78-3645), p&lt;0.05) , así como una fuerte correlación entre los niveles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TgPAAF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y de AAT-PAAF(r=0.87, p&lt;0.005). No se encontraron diferencias en los niveles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tiroglobulina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plasmática estimulada (25,4ng/dl (2,5-85) vs 1,4ng/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dl(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0,04-44), ni en los niveles de AAT-plasmáticos (18.5ng/dl(16-126) vs 18.4ng/dl(10-34)).</w:t>
      </w:r>
      <w:r w:rsidRPr="00DA69DE">
        <w:rPr>
          <w:rFonts w:ascii="Times New Roman" w:hAnsi="Times New Roman"/>
          <w:b/>
          <w:bCs/>
          <w:color w:val="363636"/>
          <w:sz w:val="20"/>
          <w:szCs w:val="20"/>
          <w:bdr w:val="none" w:sz="0" w:space="0" w:color="auto" w:frame="1"/>
          <w:shd w:val="clear" w:color="auto" w:fill="FFFFFF"/>
        </w:rPr>
        <w:br/>
      </w:r>
      <w:r w:rsidRPr="00DA69DE">
        <w:rPr>
          <w:rStyle w:val="Textoennegrita"/>
          <w:rFonts w:ascii="Times New Roman" w:hAnsi="Times New Roman"/>
          <w:color w:val="363636"/>
          <w:sz w:val="20"/>
          <w:szCs w:val="20"/>
          <w:bdr w:val="none" w:sz="0" w:space="0" w:color="auto" w:frame="1"/>
          <w:shd w:val="clear" w:color="auto" w:fill="FFFFFF"/>
        </w:rPr>
        <w:t>Conclusiones: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La determinación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TgPAAF</w:t>
      </w:r>
      <w:proofErr w:type="spellEnd"/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  es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una técnica sencilla y eficaz, como complemento a la citología y a la ecografía tiroidea en el diagnóstico de metástasis ganglionares en el paciente con CDT.</w:t>
      </w:r>
      <w:r w:rsidRPr="00DA69DE">
        <w:rPr>
          <w:rFonts w:ascii="Times New Roman" w:hAnsi="Times New Roman"/>
          <w:color w:val="363636"/>
          <w:sz w:val="20"/>
          <w:szCs w:val="20"/>
        </w:rPr>
        <w:br/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Existe una fuerte correlación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  entre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niveles de AAT-PAAF y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-PAAF. Se observa una tendencia, no significativa, de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  niveles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Tiroglobulina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plasmática estimulada  más elevados en aquellos pacientes con AAT-PAAF detectables.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</w:p>
    <w:p w:rsidR="00EB2D21" w:rsidRDefault="00EB2D21"/>
    <w:p w:rsidR="00725967" w:rsidRDefault="00725967"/>
    <w:p w:rsidR="00725967" w:rsidRDefault="00725967"/>
    <w:p w:rsidR="00725967" w:rsidRDefault="00725967"/>
    <w:p w:rsidR="00725967" w:rsidRDefault="00725967"/>
    <w:p w:rsidR="00725967" w:rsidRDefault="00725967"/>
    <w:p w:rsidR="00874C94" w:rsidRDefault="00874C94" w:rsidP="00874C94">
      <w:pPr>
        <w:jc w:val="both"/>
        <w:rPr>
          <w:rFonts w:ascii="Times New Roman" w:hAnsi="Times New Roman"/>
          <w:b/>
          <w:caps/>
          <w:color w:val="9F4A9B"/>
          <w:sz w:val="20"/>
          <w:szCs w:val="20"/>
        </w:rPr>
      </w:pPr>
      <w:r>
        <w:rPr>
          <w:rFonts w:ascii="Times New Roman" w:hAnsi="Times New Roman"/>
          <w:b/>
          <w:caps/>
          <w:color w:val="9F4A9B"/>
          <w:sz w:val="20"/>
          <w:szCs w:val="20"/>
        </w:rPr>
        <w:t xml:space="preserve">PREMIO </w:t>
      </w:r>
      <w:r>
        <w:rPr>
          <w:rFonts w:ascii="Times New Roman" w:hAnsi="Times New Roman"/>
          <w:b/>
          <w:caps/>
          <w:color w:val="9F4A9B"/>
          <w:sz w:val="20"/>
          <w:szCs w:val="20"/>
        </w:rPr>
        <w:t>nutricion</w:t>
      </w:r>
      <w:bookmarkStart w:id="0" w:name="_GoBack"/>
      <w:bookmarkEnd w:id="0"/>
    </w:p>
    <w:p w:rsidR="00725967" w:rsidRPr="00E71347" w:rsidRDefault="00725967" w:rsidP="00725967">
      <w:pPr>
        <w:jc w:val="both"/>
        <w:rPr>
          <w:rFonts w:ascii="Times New Roman" w:hAnsi="Times New Roman"/>
          <w:b/>
          <w:caps/>
          <w:color w:val="9F4A9B"/>
          <w:sz w:val="20"/>
          <w:szCs w:val="20"/>
        </w:rPr>
      </w:pPr>
      <w:r w:rsidRPr="00E71347">
        <w:rPr>
          <w:rFonts w:ascii="Times New Roman" w:hAnsi="Times New Roman"/>
          <w:b/>
          <w:caps/>
          <w:color w:val="9F4A9B"/>
          <w:sz w:val="20"/>
          <w:szCs w:val="20"/>
        </w:rPr>
        <w:t>Evaluación de la introducción de una herramienta de Cribaje nutricional en una planta quirúrgica</w:t>
      </w:r>
    </w:p>
    <w:p w:rsidR="00725967" w:rsidRPr="00DA69DE" w:rsidRDefault="00725967" w:rsidP="00725967">
      <w:pPr>
        <w:numPr>
          <w:ilvl w:val="0"/>
          <w:numId w:val="2"/>
        </w:numPr>
        <w:pBdr>
          <w:top w:val="dotted" w:sz="6" w:space="15" w:color="9F4A9B"/>
        </w:pBdr>
        <w:shd w:val="clear" w:color="auto" w:fill="FFFFFF"/>
        <w:spacing w:after="0" w:line="281" w:lineRule="atLeast"/>
        <w:ind w:left="300" w:right="300"/>
        <w:jc w:val="both"/>
        <w:textAlignment w:val="baseline"/>
        <w:rPr>
          <w:rFonts w:ascii="Times New Roman" w:eastAsia="Times New Roman" w:hAnsi="Times New Roman"/>
          <w:color w:val="363636"/>
          <w:sz w:val="20"/>
          <w:szCs w:val="20"/>
          <w:lang w:eastAsia="es-ES"/>
        </w:rPr>
      </w:pPr>
      <w:r w:rsidRPr="00DA69DE">
        <w:rPr>
          <w:rFonts w:ascii="Times New Roman" w:eastAsia="Times New Roman" w:hAnsi="Times New Roman"/>
          <w:b/>
          <w:bCs/>
          <w:color w:val="363636"/>
          <w:sz w:val="20"/>
          <w:szCs w:val="20"/>
          <w:bdr w:val="none" w:sz="0" w:space="0" w:color="auto" w:frame="1"/>
          <w:lang w:eastAsia="es-ES"/>
        </w:rPr>
        <w:t>Autor: </w:t>
      </w:r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Torres </w:t>
      </w:r>
      <w:proofErr w:type="spellStart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Torres</w:t>
      </w:r>
      <w:proofErr w:type="spellEnd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, Beatriz. Hospital Clínico Universitario de Valladolid.</w:t>
      </w:r>
    </w:p>
    <w:p w:rsidR="00725967" w:rsidRPr="00DA69DE" w:rsidRDefault="00725967" w:rsidP="00725967">
      <w:pPr>
        <w:numPr>
          <w:ilvl w:val="0"/>
          <w:numId w:val="2"/>
        </w:numPr>
        <w:pBdr>
          <w:top w:val="dotted" w:sz="6" w:space="15" w:color="9F4A9B"/>
        </w:pBdr>
        <w:shd w:val="clear" w:color="auto" w:fill="FFFFFF"/>
        <w:spacing w:after="0" w:line="281" w:lineRule="atLeast"/>
        <w:ind w:left="300" w:right="300"/>
        <w:jc w:val="both"/>
        <w:textAlignment w:val="baseline"/>
        <w:rPr>
          <w:rFonts w:ascii="Times New Roman" w:eastAsia="Times New Roman" w:hAnsi="Times New Roman"/>
          <w:color w:val="363636"/>
          <w:sz w:val="20"/>
          <w:szCs w:val="20"/>
          <w:lang w:eastAsia="es-ES"/>
        </w:rPr>
      </w:pPr>
      <w:r w:rsidRPr="00DA69DE">
        <w:rPr>
          <w:rFonts w:ascii="Times New Roman" w:eastAsia="Times New Roman" w:hAnsi="Times New Roman"/>
          <w:b/>
          <w:bCs/>
          <w:color w:val="363636"/>
          <w:sz w:val="20"/>
          <w:szCs w:val="20"/>
          <w:bdr w:val="none" w:sz="0" w:space="0" w:color="auto" w:frame="1"/>
          <w:lang w:eastAsia="es-ES"/>
        </w:rPr>
        <w:t>Coautores: </w:t>
      </w:r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M.A. Castro Lozano, M.J. San Ceferino Rodríguez, C. Escribano Romo, S. Rodríguez Gómez, M. Martín Sánchez, J.J. López Gómez, E. Gómez Hoyos, O. </w:t>
      </w:r>
      <w:proofErr w:type="spellStart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Izaola</w:t>
      </w:r>
      <w:proofErr w:type="spellEnd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 xml:space="preserve"> </w:t>
      </w:r>
      <w:proofErr w:type="spellStart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Jaúregui</w:t>
      </w:r>
      <w:proofErr w:type="spellEnd"/>
      <w:r w:rsidRPr="00DA69DE">
        <w:rPr>
          <w:rFonts w:ascii="Times New Roman" w:eastAsia="Times New Roman" w:hAnsi="Times New Roman"/>
          <w:color w:val="363636"/>
          <w:sz w:val="20"/>
          <w:szCs w:val="20"/>
          <w:lang w:eastAsia="es-ES"/>
        </w:rPr>
        <w:t>, D. de Luis Román</w:t>
      </w: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INTRODUCCIÓN :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Existe una alta prevalencia de desnutrición hospitalaria , lo que supone un aumento de la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morbi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-mortalidad, asociado a incremento de la estancia hospitalaria y de reingresos y , por tanto, del coste socio sanitario. Un diagnóstico e intervención nutricional precoz permitiría un adecuado manejo de estos pacientes.</w:t>
      </w: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OBJETIVOS:</w:t>
      </w:r>
      <w:proofErr w:type="gramStart"/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</w:rPr>
        <w:t xml:space="preserve"> 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Evaluar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la eficacia de la instauración de un método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cribaje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nutricional realizado en una planta quirúrgica. Valorar la prevalencia de desnutrición al ingreso y durante la estancia hospitalaria de pacientes ingresados en una planta quirúrgica. </w:t>
      </w:r>
    </w:p>
    <w:p w:rsidR="00725967" w:rsidRPr="00DA69DE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MATERIAL Y MÉTODO: Estudio Prospectivo dentro del proyecto piloto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MASNUTRIDOS ,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(Dirección General de Asistencia Sanitaria, Consejería de Sanidad de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CyL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), realizado desde el 1 de Febrero al 30 de Abril de 2015. El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cribaje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de malnutrición al ingreso se realizó a todos los pacientes ingresados en planta de Cirugía Vascular con la herramienta MUST (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Malnutrition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Universal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Screening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</w:t>
      </w:r>
      <w:proofErr w:type="spell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Tool</w:t>
      </w:r>
      <w:proofErr w:type="spell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), en las primeras 24-48 horas del ingreso, y semanalmente hasta el alta hospitalaria.</w:t>
      </w:r>
    </w:p>
    <w:p w:rsidR="00725967" w:rsidRPr="00DA69DE" w:rsidRDefault="00725967" w:rsidP="00725967">
      <w:pPr>
        <w:jc w:val="both"/>
        <w:rPr>
          <w:rFonts w:ascii="Times New Roman" w:hAnsi="Times New Roman"/>
          <w:sz w:val="20"/>
          <w:szCs w:val="20"/>
        </w:rPr>
      </w:pP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> 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RESULTADOS: Ingresaron 237 pacientes, de los que el 80,6 % eran varones, con una edad media de 70 años(DS13) y una estancia media hospitalaria de 6 días (3-10).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  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Se observó Riesgo bajo de malnutrición (MUST=0) en 171 pacientes (72,2%), Riesgo intermedio de malnutrición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( MUST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=1) en 29(12,2%) y Riego alto de Malnutrición (MUST ≥2) en 37 pacientes (15.6%). En la tabla 1 se recogen resultados y su relación con el resultado de MUST</w:t>
      </w:r>
    </w:p>
    <w:tbl>
      <w:tblPr>
        <w:tblW w:w="7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452"/>
        <w:gridCol w:w="1522"/>
        <w:gridCol w:w="1475"/>
        <w:gridCol w:w="791"/>
      </w:tblGrid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MUST=0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MUST=1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MUST≥2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p</w:t>
            </w:r>
          </w:p>
        </w:tc>
      </w:tr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Sexo (% hombres)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0.061</w:t>
            </w:r>
          </w:p>
        </w:tc>
      </w:tr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Edad (años)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67.7(11.5)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75.7(13.7)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73.4(14.4)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&lt;0.05</w:t>
            </w:r>
          </w:p>
        </w:tc>
      </w:tr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Estancia (días)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5(2-9)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8.5(4-16.2)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8.5(5-13.5)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&lt;0.05</w:t>
            </w:r>
          </w:p>
        </w:tc>
      </w:tr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Peso ingreso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76.1(13.4)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62.3(13.7)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   57.3(12.5)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&lt;0.001</w:t>
            </w:r>
          </w:p>
        </w:tc>
      </w:tr>
      <w:tr w:rsidR="00725967" w:rsidRPr="007560C1" w:rsidTr="005A4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IMC Ingreso (Kg/m²)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27.1(4.1)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22.8(4.8)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 21.1(4.6)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&lt;0.001</w:t>
            </w:r>
          </w:p>
        </w:tc>
      </w:tr>
    </w:tbl>
    <w:p w:rsidR="00725967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Fonts w:ascii="Times New Roman" w:hAnsi="Times New Roman"/>
          <w:color w:val="363636"/>
          <w:sz w:val="20"/>
          <w:szCs w:val="20"/>
        </w:rPr>
        <w:br/>
      </w:r>
    </w:p>
    <w:p w:rsidR="00725967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El 5% de los pacientes con MUST=0 al ingreso, presentaron un MUST≥1 a lo largo del ingreso. En este grupo se observó mayor estancia hospitalaria respecto a los que no sufrieron deterioro de su estado nutricional (10,5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días(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6,5-26) vs 4,5 días(2-8) p&gt;0.001)</w:t>
      </w:r>
      <w:r w:rsidRPr="00DA69DE">
        <w:rPr>
          <w:rStyle w:val="apple-converted-space"/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 . </w:t>
      </w:r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EL 58 % de los ingresos eran programados y el resto urgentes, observándose diferencias significativas (* p&lt;0.05) entre ambos tipos de </w:t>
      </w:r>
      <w:proofErr w:type="gramStart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ingresos(</w:t>
      </w:r>
      <w:proofErr w:type="gramEnd"/>
      <w:r w:rsidRPr="00DA69DE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tabla 2)</w:t>
      </w:r>
    </w:p>
    <w:p w:rsidR="00725967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</w:p>
    <w:p w:rsidR="00725967" w:rsidRDefault="00725967" w:rsidP="00725967">
      <w:pPr>
        <w:jc w:val="both"/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</w:p>
    <w:p w:rsidR="00725967" w:rsidRPr="00DA69DE" w:rsidRDefault="00725967" w:rsidP="0072596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669"/>
        <w:gridCol w:w="1733"/>
        <w:gridCol w:w="1989"/>
        <w:gridCol w:w="1286"/>
        <w:gridCol w:w="1193"/>
      </w:tblGrid>
      <w:tr w:rsidR="00725967" w:rsidRPr="007560C1" w:rsidTr="005A4511">
        <w:trPr>
          <w:trHeight w:val="8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Ingresos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    Sexo *</w:t>
            </w:r>
            <w:r w:rsidRPr="007560C1">
              <w:rPr>
                <w:rStyle w:val="apple-converted-space"/>
                <w:rFonts w:ascii="Times New Roman" w:hAnsi="Times New Roman"/>
                <w:color w:val="363636"/>
                <w:sz w:val="20"/>
                <w:szCs w:val="20"/>
              </w:rPr>
              <w:t> 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   (% hombres)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 Edad*     </w:t>
            </w:r>
            <w:r w:rsidRPr="007560C1">
              <w:rPr>
                <w:rStyle w:val="apple-converted-space"/>
                <w:rFonts w:ascii="Times New Roman" w:hAnsi="Times New Roman"/>
                <w:color w:val="363636"/>
                <w:sz w:val="20"/>
                <w:szCs w:val="20"/>
              </w:rPr>
              <w:t> 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     (años)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IMC ingreso*  </w:t>
            </w:r>
            <w:r w:rsidRPr="007560C1">
              <w:rPr>
                <w:rStyle w:val="apple-converted-space"/>
                <w:rFonts w:ascii="Times New Roman" w:hAnsi="Times New Roman"/>
                <w:color w:val="363636"/>
                <w:sz w:val="20"/>
                <w:szCs w:val="20"/>
              </w:rPr>
              <w:t> 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    (Kg/m²)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MUST≥2 *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  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Estancia*</w:t>
            </w: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br/>
              <w:t>(días)</w:t>
            </w:r>
          </w:p>
        </w:tc>
      </w:tr>
      <w:tr w:rsidR="00725967" w:rsidRPr="007560C1" w:rsidTr="005A4511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Urgentes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   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    75.1(12.28)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     24.1(5.26)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   28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 9(4-17)</w:t>
            </w:r>
          </w:p>
        </w:tc>
      </w:tr>
      <w:tr w:rsidR="00725967" w:rsidRPr="007560C1" w:rsidTr="005A4511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Programado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    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    66.3(12.27)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     26.4(4.42)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    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67" w:rsidRPr="007560C1" w:rsidRDefault="00725967" w:rsidP="005A4511">
            <w:pPr>
              <w:spacing w:line="281" w:lineRule="atLeast"/>
              <w:jc w:val="both"/>
              <w:rPr>
                <w:rFonts w:ascii="Times New Roman" w:hAnsi="Times New Roman"/>
                <w:color w:val="363636"/>
                <w:sz w:val="20"/>
                <w:szCs w:val="20"/>
              </w:rPr>
            </w:pPr>
            <w:r w:rsidRPr="007560C1">
              <w:rPr>
                <w:rFonts w:ascii="Times New Roman" w:hAnsi="Times New Roman"/>
                <w:color w:val="363636"/>
                <w:sz w:val="20"/>
                <w:szCs w:val="20"/>
              </w:rPr>
              <w:t>     4(2-7)</w:t>
            </w:r>
          </w:p>
        </w:tc>
      </w:tr>
    </w:tbl>
    <w:p w:rsidR="00725967" w:rsidRPr="00DA69DE" w:rsidRDefault="00725967" w:rsidP="00725967">
      <w:pPr>
        <w:pStyle w:val="s21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363636"/>
          <w:sz w:val="20"/>
          <w:szCs w:val="20"/>
          <w:shd w:val="clear" w:color="auto" w:fill="FFFFFF"/>
        </w:rPr>
      </w:pPr>
      <w:r w:rsidRPr="00DA69DE">
        <w:rPr>
          <w:color w:val="363636"/>
          <w:sz w:val="20"/>
          <w:szCs w:val="20"/>
        </w:rPr>
        <w:br/>
      </w:r>
      <w:r w:rsidRPr="00DA69DE">
        <w:rPr>
          <w:color w:val="363636"/>
          <w:sz w:val="20"/>
          <w:szCs w:val="20"/>
          <w:shd w:val="clear" w:color="auto" w:fill="FFFFFF"/>
        </w:rPr>
        <w:t>CONCLUSIONES:</w:t>
      </w:r>
      <w:r w:rsidRPr="00DA69DE">
        <w:rPr>
          <w:rStyle w:val="apple-converted-space"/>
          <w:color w:val="363636"/>
          <w:sz w:val="20"/>
          <w:szCs w:val="20"/>
          <w:shd w:val="clear" w:color="auto" w:fill="FFFFFF"/>
        </w:rPr>
        <w:t> </w:t>
      </w:r>
      <w:r w:rsidRPr="00DA69DE">
        <w:rPr>
          <w:color w:val="363636"/>
          <w:sz w:val="20"/>
          <w:szCs w:val="20"/>
        </w:rPr>
        <w:br/>
      </w:r>
      <w:r w:rsidRPr="00DA69DE">
        <w:rPr>
          <w:color w:val="363636"/>
          <w:sz w:val="20"/>
          <w:szCs w:val="20"/>
          <w:shd w:val="clear" w:color="auto" w:fill="FFFFFF"/>
        </w:rPr>
        <w:t>El grupo de pacientes desnutridos al ingreso eran más longevos, con un mayor porcentaje de mujeres, menor IMC y una mayor estancia media hospitalaria.</w:t>
      </w:r>
    </w:p>
    <w:p w:rsidR="00725967" w:rsidRPr="00DA69DE" w:rsidRDefault="00725967" w:rsidP="00725967">
      <w:pPr>
        <w:pStyle w:val="s21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363636"/>
          <w:sz w:val="20"/>
          <w:szCs w:val="20"/>
          <w:shd w:val="clear" w:color="auto" w:fill="FFFFFF"/>
        </w:rPr>
      </w:pPr>
      <w:r w:rsidRPr="00DA69DE">
        <w:rPr>
          <w:rStyle w:val="apple-converted-space"/>
          <w:color w:val="363636"/>
          <w:sz w:val="20"/>
          <w:szCs w:val="20"/>
          <w:shd w:val="clear" w:color="auto" w:fill="FFFFFF"/>
        </w:rPr>
        <w:t> </w:t>
      </w:r>
      <w:r w:rsidRPr="00DA69DE">
        <w:rPr>
          <w:color w:val="363636"/>
          <w:sz w:val="20"/>
          <w:szCs w:val="20"/>
          <w:shd w:val="clear" w:color="auto" w:fill="FFFFFF"/>
        </w:rPr>
        <w:t xml:space="preserve">Los pacientes </w:t>
      </w:r>
      <w:proofErr w:type="spellStart"/>
      <w:r w:rsidRPr="00DA69DE">
        <w:rPr>
          <w:color w:val="363636"/>
          <w:sz w:val="20"/>
          <w:szCs w:val="20"/>
          <w:shd w:val="clear" w:color="auto" w:fill="FFFFFF"/>
        </w:rPr>
        <w:t>normonutridos</w:t>
      </w:r>
      <w:proofErr w:type="spellEnd"/>
      <w:r w:rsidRPr="00DA69DE">
        <w:rPr>
          <w:color w:val="363636"/>
          <w:sz w:val="20"/>
          <w:szCs w:val="20"/>
          <w:shd w:val="clear" w:color="auto" w:fill="FFFFFF"/>
        </w:rPr>
        <w:t xml:space="preserve"> al ingreso, con un deterioro de su estado nutricional durante el ingreso </w:t>
      </w:r>
      <w:proofErr w:type="gramStart"/>
      <w:r w:rsidRPr="00DA69DE">
        <w:rPr>
          <w:color w:val="363636"/>
          <w:sz w:val="20"/>
          <w:szCs w:val="20"/>
          <w:shd w:val="clear" w:color="auto" w:fill="FFFFFF"/>
        </w:rPr>
        <w:t>hospitalario ,</w:t>
      </w:r>
      <w:proofErr w:type="gramEnd"/>
      <w:r w:rsidRPr="00DA69DE">
        <w:rPr>
          <w:color w:val="363636"/>
          <w:sz w:val="20"/>
          <w:szCs w:val="20"/>
          <w:shd w:val="clear" w:color="auto" w:fill="FFFFFF"/>
        </w:rPr>
        <w:t xml:space="preserve"> son los que presentaron una mayor estancia media hospitalaria.</w:t>
      </w:r>
    </w:p>
    <w:p w:rsidR="00725967" w:rsidRPr="00DA69DE" w:rsidRDefault="00725967" w:rsidP="00725967">
      <w:pPr>
        <w:pStyle w:val="s21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color w:val="363636"/>
          <w:sz w:val="20"/>
          <w:szCs w:val="20"/>
          <w:shd w:val="clear" w:color="auto" w:fill="FFFFFF"/>
        </w:rPr>
      </w:pPr>
      <w:r w:rsidRPr="00DA69DE">
        <w:rPr>
          <w:color w:val="363636"/>
          <w:sz w:val="20"/>
          <w:szCs w:val="20"/>
          <w:shd w:val="clear" w:color="auto" w:fill="FFFFFF"/>
        </w:rPr>
        <w:t>El 28% de los ingresos urgentes presentaban un MUST≥2 al ingreso, pudiendo ser la desnutrición un factor precipitante de ingreso hospitalario en estos pacientes.</w:t>
      </w:r>
    </w:p>
    <w:p w:rsidR="00725967" w:rsidRPr="00DA69DE" w:rsidRDefault="00725967" w:rsidP="00725967">
      <w:pPr>
        <w:pStyle w:val="s21"/>
        <w:shd w:val="clear" w:color="auto" w:fill="FFFFFF"/>
        <w:spacing w:before="0" w:beforeAutospacing="0" w:after="0" w:afterAutospacing="0" w:line="281" w:lineRule="atLeast"/>
        <w:jc w:val="both"/>
        <w:textAlignment w:val="baseline"/>
        <w:rPr>
          <w:rStyle w:val="s2"/>
          <w:color w:val="363636"/>
          <w:sz w:val="20"/>
          <w:szCs w:val="20"/>
          <w:bdr w:val="none" w:sz="0" w:space="0" w:color="auto" w:frame="1"/>
        </w:rPr>
      </w:pPr>
      <w:r w:rsidRPr="00DA69DE">
        <w:rPr>
          <w:color w:val="363636"/>
          <w:sz w:val="20"/>
          <w:szCs w:val="20"/>
          <w:shd w:val="clear" w:color="auto" w:fill="FFFFFF"/>
        </w:rPr>
        <w:t xml:space="preserve">En fundamental, un </w:t>
      </w:r>
      <w:proofErr w:type="spellStart"/>
      <w:r w:rsidRPr="00DA69DE">
        <w:rPr>
          <w:color w:val="363636"/>
          <w:sz w:val="20"/>
          <w:szCs w:val="20"/>
          <w:shd w:val="clear" w:color="auto" w:fill="FFFFFF"/>
        </w:rPr>
        <w:t>cribaje</w:t>
      </w:r>
      <w:proofErr w:type="spellEnd"/>
      <w:r w:rsidRPr="00DA69DE">
        <w:rPr>
          <w:color w:val="363636"/>
          <w:sz w:val="20"/>
          <w:szCs w:val="20"/>
          <w:shd w:val="clear" w:color="auto" w:fill="FFFFFF"/>
        </w:rPr>
        <w:t xml:space="preserve"> nutricional Universal al ingreso, y así realizar una intervención nutricional precoz en los pacientes con alto riesgo nutricional. Siendo indispensable, además, repetirlo durante el ingreso, para valorar evolución, y posible deterioro, del estado nutricional.</w:t>
      </w:r>
    </w:p>
    <w:p w:rsidR="00725967" w:rsidRDefault="00725967" w:rsidP="00725967">
      <w:r w:rsidRPr="00DA69DE">
        <w:rPr>
          <w:rStyle w:val="s2"/>
          <w:rFonts w:ascii="Times New Roman" w:eastAsia="Times New Roman" w:hAnsi="Times New Roman"/>
          <w:color w:val="363636"/>
          <w:sz w:val="20"/>
          <w:szCs w:val="20"/>
          <w:bdr w:val="none" w:sz="0" w:space="0" w:color="auto" w:frame="1"/>
          <w:lang w:eastAsia="es-ES"/>
        </w:rPr>
        <w:br w:type="page"/>
      </w:r>
    </w:p>
    <w:sectPr w:rsidR="0072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620"/>
    <w:multiLevelType w:val="multilevel"/>
    <w:tmpl w:val="69D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F7D48"/>
    <w:multiLevelType w:val="multilevel"/>
    <w:tmpl w:val="FB12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67"/>
    <w:rsid w:val="00725967"/>
    <w:rsid w:val="00874C94"/>
    <w:rsid w:val="00E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BC1EA-CAD8-4CE4-B021-A71D854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725967"/>
    <w:rPr>
      <w:b/>
      <w:bCs/>
    </w:rPr>
  </w:style>
  <w:style w:type="character" w:customStyle="1" w:styleId="apple-converted-space">
    <w:name w:val="apple-converted-space"/>
    <w:basedOn w:val="Fuentedeprrafopredeter"/>
    <w:rsid w:val="00725967"/>
  </w:style>
  <w:style w:type="character" w:customStyle="1" w:styleId="s2">
    <w:name w:val="s2"/>
    <w:basedOn w:val="Fuentedeprrafopredeter"/>
    <w:rsid w:val="00725967"/>
  </w:style>
  <w:style w:type="paragraph" w:customStyle="1" w:styleId="s21">
    <w:name w:val="s21"/>
    <w:basedOn w:val="Normal"/>
    <w:rsid w:val="0072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luis</dc:creator>
  <cp:keywords/>
  <dc:description/>
  <cp:lastModifiedBy>Daniel de luis</cp:lastModifiedBy>
  <cp:revision>2</cp:revision>
  <dcterms:created xsi:type="dcterms:W3CDTF">2015-10-16T22:38:00Z</dcterms:created>
  <dcterms:modified xsi:type="dcterms:W3CDTF">2015-10-17T21:09:00Z</dcterms:modified>
</cp:coreProperties>
</file>